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jc w:val="both"/>
      </w:pPr>
      <w:r>
        <w:rPr>
          <w:sz w:val="24"/>
        </w:rPr>
        <w:t xml:space="preserve">об удовлетворении заявления при отсутствии оснований для отказа в удовлетворении заявления</w:t>
      </w:r>
    </w:p>
    <w:sectPr>
      <w:pgSz w:w="11906" w:h="16838"/>
      <w:pgMar w:top="1440" w:right="566" w:bottom="1440" w:left="1133" w:header="0" w:footer="0" w:gutter="0"/>
      <w:titlePg/>
    </w:sectPr>
  </w:body>
</w:document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Минтруда России от 26.04.2023 N 341н
(ред. от 10.10.2023)
"Об утверждении Правил отказа от направления средств (части средств) материнского (семейного) капитала на формирование накопительной пенсии"
(Зарегистрировано в Минюсте России 26.05.2023 N 73485)</dc:title>
  <dcterms:created xsi:type="dcterms:W3CDTF">2026-05-06T09:26:47Z</dcterms:created>
</cp:coreProperties>
</file>